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bookmarkStart w:id="0" w:name="_GoBack"/>
      <w:bookmarkEnd w:id="0"/>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5E61C8">
        <w:rPr>
          <w:rFonts w:ascii="Times New Roman" w:hAnsi="Times New Roman"/>
          <w:sz w:val="24"/>
        </w:rPr>
        <w:t>12788</w:t>
      </w:r>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proofErr w:type="spellStart"/>
      <w:r w:rsidR="00290628">
        <w:rPr>
          <w:rFonts w:ascii="Arial" w:hAnsi="Arial" w:cs="Arial"/>
          <w:sz w:val="24"/>
          <w:lang w:val="en-US" w:eastAsia="zh-CN"/>
        </w:rPr>
        <w:t>Adhoc</w:t>
      </w:r>
      <w:proofErr w:type="spellEnd"/>
      <w:r w:rsidR="00290628">
        <w:rPr>
          <w:rFonts w:ascii="Arial" w:hAnsi="Arial" w:cs="Arial"/>
          <w:sz w:val="24"/>
          <w:lang w:val="en-US" w:eastAsia="zh-CN"/>
        </w:rPr>
        <w:t xml:space="preserve"> on NR-U RRM specification structure</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90628">
        <w:rPr>
          <w:rFonts w:ascii="Arial" w:hAnsi="Arial" w:cs="Arial"/>
          <w:sz w:val="24"/>
          <w:lang w:val="en-US" w:eastAsia="zh-CN"/>
        </w:rPr>
        <w:t>8.1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290628" w:rsidP="002E5998">
      <w:pPr>
        <w:pStyle w:val="Heading1"/>
      </w:pPr>
      <w:proofErr w:type="spellStart"/>
      <w:r>
        <w:t>Worksplit</w:t>
      </w:r>
      <w:proofErr w:type="spellEnd"/>
    </w:p>
    <w:p w:rsidR="00290628" w:rsidRDefault="00290628" w:rsidP="00E33437">
      <w:r>
        <w:t xml:space="preserve">From the main meeting it is agreed that Huawei will handle work split </w:t>
      </w:r>
      <w:r w:rsidRPr="00C5568D">
        <w:t xml:space="preserve">issues in </w:t>
      </w:r>
      <w:r w:rsidR="00E33437">
        <w:t>R4-1912663(revised from R4-11934)</w:t>
      </w:r>
      <w:r w:rsidR="00C5568D">
        <w:rPr>
          <w:lang w:val="en-US"/>
        </w:rPr>
        <w:t>. Latest understanding (16.10.19) of CR responsibility from RAN4 reflector is shown in table 1:</w:t>
      </w:r>
    </w:p>
    <w:tbl>
      <w:tblPr>
        <w:tblW w:w="9180" w:type="dxa"/>
        <w:tblCellMar>
          <w:left w:w="0" w:type="dxa"/>
          <w:right w:w="0" w:type="dxa"/>
        </w:tblCellMar>
        <w:tblLook w:val="04A0" w:firstRow="1" w:lastRow="0" w:firstColumn="1" w:lastColumn="0" w:noHBand="0" w:noVBand="1"/>
      </w:tblPr>
      <w:tblGrid>
        <w:gridCol w:w="3540"/>
        <w:gridCol w:w="1672"/>
        <w:gridCol w:w="1984"/>
        <w:gridCol w:w="1984"/>
      </w:tblGrid>
      <w:tr w:rsidR="00290628" w:rsidRPr="00290628" w:rsidTr="00290628">
        <w:trPr>
          <w:trHeight w:val="326"/>
        </w:trPr>
        <w:tc>
          <w:tcPr>
            <w:tcW w:w="353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rStyle w:val="Strong"/>
                <w:color w:val="000000"/>
                <w:sz w:val="21"/>
                <w:szCs w:val="21"/>
              </w:rPr>
              <w:t>Requirements</w:t>
            </w:r>
          </w:p>
        </w:tc>
        <w:tc>
          <w:tcPr>
            <w:tcW w:w="16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jc w:val="center"/>
            </w:pPr>
            <w:r>
              <w:rPr>
                <w:rStyle w:val="Strong"/>
                <w:color w:val="000000"/>
                <w:sz w:val="21"/>
                <w:szCs w:val="21"/>
              </w:rPr>
              <w:t>Comments</w:t>
            </w:r>
          </w:p>
        </w:tc>
        <w:tc>
          <w:tcPr>
            <w:tcW w:w="396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jc w:val="center"/>
            </w:pPr>
            <w:r>
              <w:rPr>
                <w:rStyle w:val="Strong"/>
                <w:color w:val="000000"/>
                <w:sz w:val="21"/>
                <w:szCs w:val="21"/>
              </w:rPr>
              <w:t>CR responsibility</w:t>
            </w:r>
          </w:p>
        </w:tc>
      </w:tr>
      <w:tr w:rsidR="00290628" w:rsidRPr="00290628" w:rsidTr="00290628">
        <w:trPr>
          <w:trHeight w:val="325"/>
        </w:trPr>
        <w:tc>
          <w:tcPr>
            <w:tcW w:w="0" w:type="auto"/>
            <w:vMerge/>
            <w:tcBorders>
              <w:top w:val="single" w:sz="8" w:space="0" w:color="auto"/>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jc w:val="center"/>
            </w:pPr>
            <w:r>
              <w:rPr>
                <w:rStyle w:val="Strong"/>
                <w:color w:val="000000"/>
                <w:sz w:val="21"/>
                <w:szCs w:val="21"/>
              </w:rPr>
              <w:t>TS 36.133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jc w:val="center"/>
            </w:pPr>
            <w:r>
              <w:rPr>
                <w:rStyle w:val="Strong"/>
                <w:color w:val="000000"/>
                <w:sz w:val="21"/>
                <w:szCs w:val="21"/>
              </w:rPr>
              <w:t>TS 38.133</w:t>
            </w:r>
          </w:p>
        </w:tc>
      </w:tr>
      <w:tr w:rsidR="00290628" w:rsidRPr="00290628" w:rsidTr="00290628">
        <w:trPr>
          <w:trHeight w:val="340"/>
        </w:trPr>
        <w:tc>
          <w:tcPr>
            <w:tcW w:w="35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Cell reselection</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Intra-frequency</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Huawei</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Inter-frequency</w:t>
            </w:r>
          </w:p>
        </w:tc>
        <w:tc>
          <w:tcPr>
            <w:tcW w:w="0" w:type="auto"/>
            <w:vMerge/>
            <w:tcBorders>
              <w:top w:val="nil"/>
              <w:left w:val="nil"/>
              <w:bottom w:val="single" w:sz="8" w:space="0" w:color="auto"/>
              <w:right w:val="single" w:sz="8" w:space="0" w:color="auto"/>
            </w:tcBorders>
            <w:vAlign w:val="center"/>
            <w:hideMark/>
          </w:tcPr>
          <w:p w:rsidR="00290628" w:rsidRPr="00C5568D" w:rsidRDefault="00290628">
            <w:pPr>
              <w:rPr>
                <w:rFonts w:ascii="Calibri" w:hAnsi="Calibri" w:cs="Calibri"/>
                <w:sz w:val="22"/>
                <w:szCs w:val="22"/>
              </w:rPr>
            </w:pPr>
          </w:p>
        </w:tc>
        <w:tc>
          <w:tcPr>
            <w:tcW w:w="0" w:type="auto"/>
            <w:vMerge/>
            <w:tcBorders>
              <w:top w:val="nil"/>
              <w:left w:val="nil"/>
              <w:bottom w:val="single" w:sz="8" w:space="0" w:color="auto"/>
              <w:right w:val="single" w:sz="8" w:space="0" w:color="auto"/>
            </w:tcBorders>
            <w:vAlign w:val="center"/>
            <w:hideMark/>
          </w:tcPr>
          <w:p w:rsidR="00290628" w:rsidRPr="00C5568D" w:rsidRDefault="00290628">
            <w:pPr>
              <w:rPr>
                <w:rFonts w:ascii="Calibri" w:hAnsi="Calibri" w:cs="Calibri"/>
                <w:sz w:val="22"/>
                <w:szCs w:val="22"/>
              </w:rPr>
            </w:pP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Inter-RAT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pPr>
              <w:spacing w:before="100" w:beforeAutospacing="1" w:after="100" w:afterAutospacing="1"/>
            </w:pPr>
            <w:r w:rsidRPr="00C5568D">
              <w:rPr>
                <w:sz w:val="18"/>
                <w:szCs w:val="18"/>
              </w:rPr>
              <w:t>Ericsson</w:t>
            </w:r>
          </w:p>
        </w:tc>
        <w:tc>
          <w:tcPr>
            <w:tcW w:w="0" w:type="auto"/>
            <w:vMerge/>
            <w:tcBorders>
              <w:top w:val="nil"/>
              <w:left w:val="nil"/>
              <w:bottom w:val="single" w:sz="8" w:space="0" w:color="auto"/>
              <w:right w:val="single" w:sz="8" w:space="0" w:color="auto"/>
            </w:tcBorders>
            <w:vAlign w:val="center"/>
            <w:hideMark/>
          </w:tcPr>
          <w:p w:rsidR="00290628" w:rsidRPr="00C5568D" w:rsidRDefault="00290628">
            <w:pPr>
              <w:rPr>
                <w:rFonts w:ascii="Calibri" w:hAnsi="Calibri" w:cs="Calibri"/>
                <w:sz w:val="22"/>
                <w:szCs w:val="22"/>
              </w:rPr>
            </w:pP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Handover</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Nokia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Nokia</w:t>
            </w:r>
          </w:p>
        </w:tc>
      </w:tr>
      <w:tr w:rsidR="00290628" w:rsidRPr="00290628" w:rsidTr="00290628">
        <w:trPr>
          <w:trHeight w:val="340"/>
        </w:trPr>
        <w:tc>
          <w:tcPr>
            <w:tcW w:w="35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RRC Connection Mobility Control</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RRC re-establishment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RA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rPr>
                <w:rFonts w:ascii="Calibri" w:hAnsi="Calibri" w:cs="Calibri"/>
                <w:sz w:val="22"/>
                <w:szCs w:val="22"/>
              </w:rPr>
            </w:pPr>
            <w:r w:rsidRPr="00C5568D">
              <w:rPr>
                <w:sz w:val="18"/>
                <w:szCs w:val="18"/>
              </w:rPr>
              <w:t> </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RRC release with redirection</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rPr>
                <w:rFonts w:ascii="Calibri" w:hAnsi="Calibri" w:cs="Calibri"/>
                <w:sz w:val="22"/>
                <w:szCs w:val="22"/>
              </w:rPr>
            </w:pPr>
            <w:r w:rsidRPr="00C5568D">
              <w:rPr>
                <w:sz w:val="18"/>
                <w:szCs w:val="18"/>
              </w:rPr>
              <w:t> </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SCell activation/deactivation delays</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Qualcomm</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proofErr w:type="spellStart"/>
            <w:r>
              <w:rPr>
                <w:color w:val="000000"/>
                <w:sz w:val="18"/>
                <w:szCs w:val="18"/>
              </w:rPr>
              <w:t>PSCell</w:t>
            </w:r>
            <w:proofErr w:type="spellEnd"/>
            <w:r>
              <w:rPr>
                <w:color w:val="000000"/>
                <w:sz w:val="18"/>
                <w:szCs w:val="18"/>
              </w:rPr>
              <w:t xml:space="preserve"> addition/release delays</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rPr>
                <w:rFonts w:ascii="Calibri" w:hAnsi="Calibri" w:cs="Calibri"/>
                <w:sz w:val="22"/>
                <w:szCs w:val="22"/>
              </w:rPr>
            </w:pPr>
            <w:r w:rsidRPr="00C5568D">
              <w:rPr>
                <w:sz w:val="18"/>
                <w:szCs w:val="18"/>
              </w:rPr>
              <w:t>Qualcomm</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Active BWP switching delay and 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Huawei</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Interruption</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RLM</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Ericsson</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L</w:t>
            </w:r>
            <w:r>
              <w:rPr>
                <w:sz w:val="18"/>
                <w:szCs w:val="18"/>
              </w:rPr>
              <w:t>ink recovery procedures</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Ericsson</w:t>
            </w:r>
          </w:p>
        </w:tc>
      </w:tr>
      <w:tr w:rsidR="00290628" w:rsidRPr="00290628" w:rsidTr="00290628">
        <w:trPr>
          <w:trHeight w:val="340"/>
        </w:trPr>
        <w:tc>
          <w:tcPr>
            <w:tcW w:w="35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Measurements requirements</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Intra-frequency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Huawei</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Inter-frequency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Nokia</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Inter-RAT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Nokia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L1-RSRP</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Ericsson</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SFTD</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r>
      <w:tr w:rsidR="00290628" w:rsidRPr="00290628" w:rsidTr="00290628">
        <w:trPr>
          <w:trHeight w:val="340"/>
        </w:trPr>
        <w:tc>
          <w:tcPr>
            <w:tcW w:w="35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M</w:t>
            </w:r>
            <w:r>
              <w:rPr>
                <w:sz w:val="18"/>
                <w:szCs w:val="18"/>
              </w:rPr>
              <w:t>easurements accuracy requirements</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Intra-frequency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Huawei</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Inter-frequency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Qualcomm</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Inter-RAT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Qualcomm</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Qualcomm</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L1-RSRP</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Ericsson</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SFTD</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rPr>
                <w:rFonts w:ascii="Calibri" w:hAnsi="Calibri" w:cs="Calibri"/>
                <w:sz w:val="22"/>
                <w:szCs w:val="22"/>
              </w:rPr>
            </w:pPr>
            <w:r w:rsidRPr="00C5568D">
              <w:rPr>
                <w:sz w:val="18"/>
                <w:szCs w:val="18"/>
              </w:rPr>
              <w:t> </w:t>
            </w:r>
          </w:p>
        </w:tc>
      </w:tr>
      <w:tr w:rsidR="00290628" w:rsidRPr="00290628" w:rsidTr="00290628">
        <w:trPr>
          <w:trHeight w:val="340"/>
        </w:trPr>
        <w:tc>
          <w:tcPr>
            <w:tcW w:w="35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UE measurements capability and reporting criteria</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 </w:t>
            </w:r>
            <w:r w:rsidR="00C5568D" w:rsidRPr="00C5568D">
              <w:rPr>
                <w:sz w:val="18"/>
                <w:szCs w:val="18"/>
              </w:rPr>
              <w:t>Apple</w:t>
            </w:r>
          </w:p>
        </w:tc>
      </w:tr>
      <w:tr w:rsidR="00290628" w:rsidRPr="00290628" w:rsidTr="00290628">
        <w:trPr>
          <w:trHeight w:val="340"/>
        </w:trPr>
        <w:tc>
          <w:tcPr>
            <w:tcW w:w="35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color w:val="000000"/>
                <w:sz w:val="18"/>
                <w:szCs w:val="18"/>
              </w:rPr>
              <w:t>UE timing related requirements</w:t>
            </w: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MRTD</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MTK</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UE transmit timing</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MTK</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MTTD</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MTK</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TA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MTK</w:t>
            </w:r>
          </w:p>
        </w:tc>
      </w:tr>
      <w:tr w:rsidR="00290628" w:rsidRPr="00290628" w:rsidTr="00290628">
        <w:trPr>
          <w:trHeight w:val="340"/>
        </w:trPr>
        <w:tc>
          <w:tcPr>
            <w:tcW w:w="0" w:type="auto"/>
            <w:vMerge/>
            <w:tcBorders>
              <w:top w:val="nil"/>
              <w:left w:val="single" w:sz="8" w:space="0" w:color="auto"/>
              <w:bottom w:val="single" w:sz="8" w:space="0" w:color="auto"/>
              <w:right w:val="single" w:sz="8" w:space="0" w:color="auto"/>
            </w:tcBorders>
            <w:vAlign w:val="center"/>
            <w:hideMark/>
          </w:tcPr>
          <w:p w:rsidR="00290628" w:rsidRDefault="00290628">
            <w:pPr>
              <w:rPr>
                <w:rFonts w:ascii="Calibri" w:hAnsi="Calibri" w:cs="Calibri"/>
                <w:sz w:val="22"/>
                <w:szCs w:val="22"/>
              </w:rPr>
            </w:pPr>
          </w:p>
        </w:tc>
        <w:tc>
          <w:tcPr>
            <w:tcW w:w="1672"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Default="00290628">
            <w:pPr>
              <w:spacing w:before="100" w:beforeAutospacing="1" w:after="100" w:afterAutospacing="1"/>
            </w:pPr>
            <w:r>
              <w:rPr>
                <w:sz w:val="18"/>
                <w:szCs w:val="18"/>
              </w:rPr>
              <w:t>UE timer accuracy (UE-specific, not cell-specific requirement)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0628" w:rsidRPr="00C5568D" w:rsidRDefault="00290628">
            <w:pPr>
              <w:spacing w:before="100" w:beforeAutospacing="1" w:after="100" w:afterAutospacing="1"/>
            </w:pPr>
            <w:r w:rsidRPr="00C5568D">
              <w:rPr>
                <w:sz w:val="18"/>
                <w:szCs w:val="18"/>
              </w:rPr>
              <w:t>N/A</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90628" w:rsidRPr="00C5568D" w:rsidRDefault="00290628">
            <w:pPr>
              <w:spacing w:before="100" w:beforeAutospacing="1" w:after="100" w:afterAutospacing="1"/>
            </w:pPr>
            <w:r w:rsidRPr="00C5568D">
              <w:rPr>
                <w:sz w:val="18"/>
                <w:szCs w:val="18"/>
              </w:rPr>
              <w:t>MTK</w:t>
            </w:r>
          </w:p>
        </w:tc>
      </w:tr>
    </w:tbl>
    <w:p w:rsidR="00290628" w:rsidRPr="00C5568D" w:rsidRDefault="00C5568D" w:rsidP="00290628">
      <w:pPr>
        <w:rPr>
          <w:b/>
        </w:rPr>
      </w:pPr>
      <w:r>
        <w:rPr>
          <w:b/>
        </w:rPr>
        <w:t>Table 1 : Company responsibility areas for RRM specifications (from RAN4 reflector discussion)</w:t>
      </w:r>
    </w:p>
    <w:p w:rsidR="003F08E6" w:rsidRDefault="00C5568D" w:rsidP="00C5568D">
      <w:pPr>
        <w:pStyle w:val="Caption"/>
        <w:rPr>
          <w:lang w:eastAsia="zh-CN"/>
        </w:rPr>
      </w:pPr>
      <w:r>
        <w:rPr>
          <w:lang w:eastAsia="zh-CN"/>
        </w:rPr>
        <w:t xml:space="preserve">Proposed way forward </w:t>
      </w:r>
      <w:r w:rsidR="00E33437">
        <w:rPr>
          <w:lang w:eastAsia="zh-CN"/>
        </w:rPr>
        <w:t xml:space="preserve">on </w:t>
      </w:r>
      <w:proofErr w:type="spellStart"/>
      <w:r w:rsidR="00E33437">
        <w:rPr>
          <w:lang w:eastAsia="zh-CN"/>
        </w:rPr>
        <w:t>worksplit</w:t>
      </w:r>
      <w:proofErr w:type="spellEnd"/>
      <w:r w:rsidR="00E33437">
        <w:rPr>
          <w:lang w:eastAsia="zh-CN"/>
        </w:rPr>
        <w:t xml:space="preserve"> </w:t>
      </w:r>
      <w:r>
        <w:rPr>
          <w:lang w:eastAsia="zh-CN"/>
        </w:rPr>
        <w:t>(for specification structure)</w:t>
      </w:r>
    </w:p>
    <w:p w:rsidR="00C5568D" w:rsidRDefault="00C5568D" w:rsidP="00C5568D">
      <w:pPr>
        <w:numPr>
          <w:ilvl w:val="0"/>
          <w:numId w:val="37"/>
        </w:numPr>
        <w:rPr>
          <w:lang w:eastAsia="zh-CN"/>
        </w:rPr>
      </w:pPr>
      <w:r>
        <w:rPr>
          <w:lang w:eastAsia="zh-CN"/>
        </w:rPr>
        <w:t>Companies listed as responsible for CRs in table 1 will investigate suitable specification structure for 36.133 and 38.133  during RAN4#92bis</w:t>
      </w:r>
    </w:p>
    <w:p w:rsidR="00C5568D" w:rsidRDefault="00C5568D" w:rsidP="00C5568D">
      <w:pPr>
        <w:numPr>
          <w:ilvl w:val="0"/>
          <w:numId w:val="37"/>
        </w:numPr>
        <w:rPr>
          <w:lang w:eastAsia="zh-CN"/>
        </w:rPr>
      </w:pPr>
      <w:r>
        <w:rPr>
          <w:lang w:eastAsia="zh-CN"/>
        </w:rPr>
        <w:t xml:space="preserve">Input from the </w:t>
      </w:r>
      <w:r w:rsidR="00AC1501">
        <w:rPr>
          <w:lang w:eastAsia="zh-CN"/>
        </w:rPr>
        <w:t xml:space="preserve">CR </w:t>
      </w:r>
      <w:r>
        <w:rPr>
          <w:lang w:eastAsia="zh-CN"/>
        </w:rPr>
        <w:t>responsible companies</w:t>
      </w:r>
      <w:r w:rsidR="00242C5C">
        <w:rPr>
          <w:lang w:eastAsia="zh-CN"/>
        </w:rPr>
        <w:t xml:space="preserve"> on spec structure</w:t>
      </w:r>
      <w:r>
        <w:rPr>
          <w:lang w:eastAsia="zh-CN"/>
        </w:rPr>
        <w:t xml:space="preserve"> will be captured by Ericsson in </w:t>
      </w:r>
      <w:r w:rsidR="00E33437" w:rsidRPr="00E33437">
        <w:rPr>
          <w:lang w:eastAsia="zh-CN"/>
        </w:rPr>
        <w:t>R4-1912662 (revised from R4-1912051)</w:t>
      </w:r>
      <w:r w:rsidR="00E33437">
        <w:rPr>
          <w:lang w:eastAsia="zh-CN"/>
        </w:rPr>
        <w:t>.</w:t>
      </w:r>
    </w:p>
    <w:p w:rsidR="00E33437" w:rsidRDefault="00E33437" w:rsidP="00C5568D">
      <w:pPr>
        <w:numPr>
          <w:ilvl w:val="0"/>
          <w:numId w:val="37"/>
        </w:numPr>
        <w:rPr>
          <w:lang w:eastAsia="zh-CN"/>
        </w:rPr>
      </w:pPr>
      <w:r>
        <w:rPr>
          <w:lang w:eastAsia="zh-CN"/>
        </w:rPr>
        <w:t>The intention is that this provides initial guidance for CR drafting in RAN4#93. Further modification to RRM spec structure are allowed at any point during the NR-U work item (for example, technical discussion may result in additional requirements which have not been considered at this time).</w:t>
      </w:r>
    </w:p>
    <w:p w:rsidR="00E33437" w:rsidRDefault="00E33437" w:rsidP="00E33437">
      <w:pPr>
        <w:pStyle w:val="Heading1"/>
      </w:pPr>
      <w:r>
        <w:t>Specification structure principles</w:t>
      </w:r>
    </w:p>
    <w:p w:rsidR="00D276C6" w:rsidRPr="00D276C6" w:rsidRDefault="00D276C6" w:rsidP="00E33437">
      <w:pPr>
        <w:rPr>
          <w:u w:val="single"/>
        </w:rPr>
      </w:pPr>
      <w:r w:rsidRPr="00D276C6">
        <w:rPr>
          <w:u w:val="single"/>
        </w:rPr>
        <w:t>Framework</w:t>
      </w:r>
    </w:p>
    <w:p w:rsidR="00E741A7" w:rsidRDefault="00E33437" w:rsidP="00E33437">
      <w:r>
        <w:t>Different kinds of modifications for NR-U can be anticipated</w:t>
      </w:r>
    </w:p>
    <w:tbl>
      <w:tblPr>
        <w:tblStyle w:val="TableGrid"/>
        <w:tblW w:w="0" w:type="auto"/>
        <w:tblLook w:val="04A0" w:firstRow="1" w:lastRow="0" w:firstColumn="1" w:lastColumn="0" w:noHBand="0" w:noVBand="1"/>
      </w:tblPr>
      <w:tblGrid>
        <w:gridCol w:w="1980"/>
        <w:gridCol w:w="8557"/>
      </w:tblGrid>
      <w:tr w:rsidR="00E741A7" w:rsidTr="00E741A7">
        <w:tc>
          <w:tcPr>
            <w:tcW w:w="1980" w:type="dxa"/>
          </w:tcPr>
          <w:p w:rsidR="00E741A7" w:rsidRDefault="00E741A7" w:rsidP="00E33437">
            <w:r>
              <w:t>Type 1</w:t>
            </w:r>
          </w:p>
        </w:tc>
        <w:tc>
          <w:tcPr>
            <w:tcW w:w="8557" w:type="dxa"/>
          </w:tcPr>
          <w:p w:rsidR="00E741A7" w:rsidRDefault="00E741A7" w:rsidP="00E741A7">
            <w:pPr>
              <w:numPr>
                <w:ilvl w:val="0"/>
                <w:numId w:val="38"/>
              </w:numPr>
            </w:pPr>
            <w:r>
              <w:t>Completely new and independent requirements for a complete section of 36.133/38.133 when CCA operation is considered</w:t>
            </w:r>
          </w:p>
          <w:p w:rsidR="00E741A7" w:rsidRDefault="00E741A7" w:rsidP="00E741A7">
            <w:pPr>
              <w:numPr>
                <w:ilvl w:val="1"/>
                <w:numId w:val="38"/>
              </w:numPr>
            </w:pPr>
            <w:r>
              <w:t xml:space="preserve">Example : RLM for PCell or </w:t>
            </w:r>
            <w:proofErr w:type="spellStart"/>
            <w:r>
              <w:t>PSCell</w:t>
            </w:r>
            <w:proofErr w:type="spellEnd"/>
            <w:r>
              <w:t xml:space="preserve"> with CCA operation on the downlink (in 8.1 of 38.133 for non-CCA operation)</w:t>
            </w:r>
          </w:p>
          <w:p w:rsidR="00E741A7" w:rsidRDefault="00E741A7" w:rsidP="00E33437"/>
        </w:tc>
      </w:tr>
      <w:tr w:rsidR="00E741A7" w:rsidTr="00E741A7">
        <w:tc>
          <w:tcPr>
            <w:tcW w:w="1980" w:type="dxa"/>
          </w:tcPr>
          <w:p w:rsidR="00E741A7" w:rsidRDefault="00E741A7" w:rsidP="00E33437">
            <w:r>
              <w:t>Type 2</w:t>
            </w:r>
          </w:p>
        </w:tc>
        <w:tc>
          <w:tcPr>
            <w:tcW w:w="8557" w:type="dxa"/>
          </w:tcPr>
          <w:p w:rsidR="00E741A7" w:rsidRDefault="00E741A7" w:rsidP="00E741A7">
            <w:pPr>
              <w:numPr>
                <w:ilvl w:val="0"/>
                <w:numId w:val="38"/>
              </w:numPr>
            </w:pPr>
            <w:r>
              <w:t>Identical or near identical requirement applies for a complete section of 36.133/38.133 when CCA operation is considered</w:t>
            </w:r>
          </w:p>
          <w:p w:rsidR="00E741A7" w:rsidRDefault="00E741A7" w:rsidP="00E741A7">
            <w:pPr>
              <w:numPr>
                <w:ilvl w:val="1"/>
                <w:numId w:val="38"/>
              </w:numPr>
            </w:pPr>
            <w:r>
              <w:t xml:space="preserve">Example : </w:t>
            </w:r>
            <w:r w:rsidRPr="00BE78B0">
              <w:t>UE timer accuracy</w:t>
            </w:r>
            <w:r>
              <w:t xml:space="preserve"> in section 7.2 of 38.133</w:t>
            </w:r>
          </w:p>
          <w:p w:rsidR="00E741A7" w:rsidRDefault="00E741A7" w:rsidP="00E33437"/>
        </w:tc>
      </w:tr>
      <w:tr w:rsidR="00E741A7" w:rsidTr="00E741A7">
        <w:tc>
          <w:tcPr>
            <w:tcW w:w="1980" w:type="dxa"/>
          </w:tcPr>
          <w:p w:rsidR="00E741A7" w:rsidRDefault="00E741A7" w:rsidP="00E33437">
            <w:r>
              <w:t>Type 3</w:t>
            </w:r>
          </w:p>
        </w:tc>
        <w:tc>
          <w:tcPr>
            <w:tcW w:w="8557" w:type="dxa"/>
          </w:tcPr>
          <w:p w:rsidR="00E741A7" w:rsidRDefault="00E741A7" w:rsidP="00E741A7">
            <w:pPr>
              <w:numPr>
                <w:ilvl w:val="0"/>
                <w:numId w:val="38"/>
              </w:numPr>
            </w:pPr>
            <w:r>
              <w:t>Requirement needs to consider both carriers where CCA operation and non CCA operation is considered</w:t>
            </w:r>
          </w:p>
          <w:p w:rsidR="00E741A7" w:rsidRDefault="00E741A7" w:rsidP="00E741A7">
            <w:pPr>
              <w:numPr>
                <w:ilvl w:val="1"/>
                <w:numId w:val="38"/>
              </w:numPr>
            </w:pPr>
            <w:r>
              <w:t>Examples : Gap applicability (such as per UE gap patterns), measurement capabilities in idle and connected mode,  reporting criteria</w:t>
            </w:r>
          </w:p>
          <w:p w:rsidR="00E741A7" w:rsidRDefault="00E741A7" w:rsidP="00E33437"/>
        </w:tc>
      </w:tr>
      <w:tr w:rsidR="00E741A7" w:rsidTr="00E741A7">
        <w:tc>
          <w:tcPr>
            <w:tcW w:w="1980" w:type="dxa"/>
          </w:tcPr>
          <w:p w:rsidR="00E741A7" w:rsidRDefault="00E741A7" w:rsidP="00E33437">
            <w:r>
              <w:t>Type 4</w:t>
            </w:r>
          </w:p>
        </w:tc>
        <w:tc>
          <w:tcPr>
            <w:tcW w:w="8557" w:type="dxa"/>
          </w:tcPr>
          <w:p w:rsidR="00E741A7" w:rsidRDefault="00E741A7" w:rsidP="00E741A7">
            <w:pPr>
              <w:numPr>
                <w:ilvl w:val="0"/>
                <w:numId w:val="38"/>
              </w:numPr>
            </w:pPr>
            <w:r>
              <w:t>Requirement is not relevant for release 16 NR-U</w:t>
            </w:r>
          </w:p>
          <w:p w:rsidR="00E741A7" w:rsidRDefault="00E741A7" w:rsidP="00E741A7">
            <w:pPr>
              <w:numPr>
                <w:ilvl w:val="1"/>
                <w:numId w:val="38"/>
              </w:numPr>
            </w:pPr>
            <w:r>
              <w:t>Examples : Any FR2 requirement, any NE-DC requirement</w:t>
            </w:r>
          </w:p>
          <w:p w:rsidR="00E741A7" w:rsidRDefault="00E741A7" w:rsidP="00E33437"/>
        </w:tc>
      </w:tr>
      <w:tr w:rsidR="00E741A7" w:rsidTr="00E741A7">
        <w:tc>
          <w:tcPr>
            <w:tcW w:w="1980" w:type="dxa"/>
          </w:tcPr>
          <w:p w:rsidR="00E741A7" w:rsidRDefault="00E741A7" w:rsidP="00E33437">
            <w:r>
              <w:t>Type 5</w:t>
            </w:r>
          </w:p>
        </w:tc>
        <w:tc>
          <w:tcPr>
            <w:tcW w:w="8557" w:type="dxa"/>
          </w:tcPr>
          <w:p w:rsidR="00E741A7" w:rsidRPr="00E741A7" w:rsidRDefault="00E741A7" w:rsidP="00E741A7">
            <w:pPr>
              <w:pStyle w:val="ListParagraph"/>
              <w:numPr>
                <w:ilvl w:val="0"/>
                <w:numId w:val="40"/>
              </w:numPr>
              <w:rPr>
                <w:sz w:val="20"/>
                <w:szCs w:val="20"/>
              </w:rPr>
            </w:pPr>
            <w:r w:rsidRPr="00E741A7">
              <w:rPr>
                <w:sz w:val="20"/>
                <w:szCs w:val="20"/>
              </w:rPr>
              <w:t>Requirement is only relevant for release 16 NR-U, not relevant for rel-15 NR</w:t>
            </w:r>
            <w:r w:rsidR="00D21405">
              <w:rPr>
                <w:sz w:val="20"/>
                <w:szCs w:val="20"/>
                <w:lang w:val="en-GB"/>
              </w:rPr>
              <w:t xml:space="preserve"> </w:t>
            </w:r>
            <w:proofErr w:type="spellStart"/>
            <w:r w:rsidR="00D21405">
              <w:rPr>
                <w:sz w:val="20"/>
                <w:szCs w:val="20"/>
                <w:lang w:val="en-GB"/>
              </w:rPr>
              <w:t>eg</w:t>
            </w:r>
            <w:proofErr w:type="spellEnd"/>
            <w:r w:rsidR="00D21405">
              <w:rPr>
                <w:sz w:val="20"/>
                <w:szCs w:val="20"/>
                <w:lang w:val="en-GB"/>
              </w:rPr>
              <w:t xml:space="preserve"> RSSI, CO</w:t>
            </w:r>
          </w:p>
        </w:tc>
      </w:tr>
    </w:tbl>
    <w:p w:rsidR="00D276C6" w:rsidRPr="00D276C6" w:rsidRDefault="00D276C6" w:rsidP="00D276C6">
      <w:pPr>
        <w:rPr>
          <w:u w:val="single"/>
        </w:rPr>
      </w:pPr>
      <w:r>
        <w:rPr>
          <w:u w:val="single"/>
        </w:rPr>
        <w:t>Proposed Way forward</w:t>
      </w:r>
      <w:r w:rsidRPr="00D276C6">
        <w:rPr>
          <w:u w:val="single"/>
        </w:rPr>
        <w:t xml:space="preserve"> (for discussion)</w:t>
      </w:r>
    </w:p>
    <w:p w:rsidR="00E33437" w:rsidRDefault="00D276C6" w:rsidP="00D276C6">
      <w:pPr>
        <w:numPr>
          <w:ilvl w:val="0"/>
          <w:numId w:val="39"/>
        </w:numPr>
        <w:rPr>
          <w:lang w:eastAsia="zh-CN"/>
        </w:rPr>
      </w:pPr>
      <w:r>
        <w:rPr>
          <w:lang w:eastAsia="zh-CN"/>
        </w:rPr>
        <w:t>Existing requirements in 38.133 and 36.133 are applicable to non CCA operation only by default</w:t>
      </w:r>
    </w:p>
    <w:p w:rsidR="00D276C6" w:rsidRDefault="00D276C6" w:rsidP="00D276C6">
      <w:pPr>
        <w:numPr>
          <w:ilvl w:val="1"/>
          <w:numId w:val="39"/>
        </w:numPr>
        <w:rPr>
          <w:lang w:eastAsia="zh-CN"/>
        </w:rPr>
      </w:pPr>
      <w:r>
        <w:rPr>
          <w:lang w:eastAsia="zh-CN"/>
        </w:rPr>
        <w:lastRenderedPageBreak/>
        <w:t>Add a sentence in section 3 such as “Unless otherwise stated, requirements in this specification apply only when non CCA operation is configured in uplink and downlink” (exact wording FFS)</w:t>
      </w:r>
    </w:p>
    <w:p w:rsidR="00D276C6" w:rsidRDefault="00D276C6" w:rsidP="00D276C6">
      <w:pPr>
        <w:numPr>
          <w:ilvl w:val="0"/>
          <w:numId w:val="39"/>
        </w:numPr>
        <w:rPr>
          <w:lang w:eastAsia="zh-CN"/>
        </w:rPr>
      </w:pPr>
      <w:r>
        <w:rPr>
          <w:lang w:eastAsia="zh-CN"/>
        </w:rPr>
        <w:t>Type 1 requirements are addressed by adding sections for CCA following the non CCA section</w:t>
      </w:r>
    </w:p>
    <w:p w:rsidR="00D276C6" w:rsidRDefault="00D276C6" w:rsidP="00D276C6">
      <w:pPr>
        <w:numPr>
          <w:ilvl w:val="1"/>
          <w:numId w:val="39"/>
        </w:numPr>
        <w:rPr>
          <w:lang w:eastAsia="zh-CN"/>
        </w:rPr>
      </w:pPr>
      <w:r>
        <w:rPr>
          <w:lang w:eastAsia="zh-CN"/>
        </w:rPr>
        <w:t xml:space="preserve">Generally it is desirable </w:t>
      </w:r>
      <w:r w:rsidR="004C7C60">
        <w:rPr>
          <w:lang w:eastAsia="zh-CN"/>
        </w:rPr>
        <w:t>to make the split at first specification level such as</w:t>
      </w:r>
    </w:p>
    <w:p w:rsidR="004C7C60" w:rsidRDefault="004C7C60" w:rsidP="004C7C60">
      <w:pPr>
        <w:numPr>
          <w:ilvl w:val="2"/>
          <w:numId w:val="39"/>
        </w:numPr>
        <w:rPr>
          <w:lang w:eastAsia="zh-CN"/>
        </w:rPr>
      </w:pPr>
      <w:r>
        <w:rPr>
          <w:lang w:eastAsia="zh-CN"/>
        </w:rPr>
        <w:t>8.1 RLM (for non CCA)</w:t>
      </w:r>
    </w:p>
    <w:p w:rsidR="004C7C60" w:rsidRDefault="004C7C60" w:rsidP="004C7C60">
      <w:pPr>
        <w:numPr>
          <w:ilvl w:val="3"/>
          <w:numId w:val="39"/>
        </w:numPr>
        <w:rPr>
          <w:lang w:eastAsia="zh-CN"/>
        </w:rPr>
      </w:pPr>
      <w:r>
        <w:rPr>
          <w:lang w:eastAsia="zh-CN"/>
        </w:rPr>
        <w:t xml:space="preserve"> </w:t>
      </w:r>
    </w:p>
    <w:p w:rsidR="004C7C60" w:rsidRDefault="004C7C60" w:rsidP="004C7C60">
      <w:pPr>
        <w:numPr>
          <w:ilvl w:val="3"/>
          <w:numId w:val="39"/>
        </w:numPr>
        <w:rPr>
          <w:lang w:eastAsia="zh-CN"/>
        </w:rPr>
      </w:pPr>
      <w:r>
        <w:rPr>
          <w:lang w:eastAsia="zh-CN"/>
        </w:rPr>
        <w:t xml:space="preserve"> </w:t>
      </w:r>
    </w:p>
    <w:p w:rsidR="004C7C60" w:rsidRDefault="004C7C60" w:rsidP="004C7C60">
      <w:pPr>
        <w:numPr>
          <w:ilvl w:val="4"/>
          <w:numId w:val="39"/>
        </w:numPr>
        <w:rPr>
          <w:lang w:eastAsia="zh-CN"/>
        </w:rPr>
      </w:pPr>
      <w:r>
        <w:rPr>
          <w:lang w:eastAsia="zh-CN"/>
        </w:rPr>
        <w:t xml:space="preserve"> </w:t>
      </w:r>
    </w:p>
    <w:p w:rsidR="004C7C60" w:rsidRDefault="004C7C60" w:rsidP="004C7C60">
      <w:pPr>
        <w:numPr>
          <w:ilvl w:val="2"/>
          <w:numId w:val="39"/>
        </w:numPr>
        <w:rPr>
          <w:lang w:eastAsia="zh-CN"/>
        </w:rPr>
      </w:pPr>
      <w:r>
        <w:rPr>
          <w:lang w:eastAsia="zh-CN"/>
        </w:rPr>
        <w:t>8.1A RLM (for CCA operation)</w:t>
      </w:r>
    </w:p>
    <w:p w:rsidR="004C7C60" w:rsidRDefault="004C7C60" w:rsidP="004C7C60">
      <w:pPr>
        <w:numPr>
          <w:ilvl w:val="3"/>
          <w:numId w:val="39"/>
        </w:numPr>
        <w:rPr>
          <w:lang w:eastAsia="zh-CN"/>
        </w:rPr>
      </w:pPr>
      <w:r>
        <w:rPr>
          <w:lang w:eastAsia="zh-CN"/>
        </w:rPr>
        <w:t xml:space="preserve"> </w:t>
      </w:r>
    </w:p>
    <w:p w:rsidR="004C7C60" w:rsidRDefault="004C7C60" w:rsidP="004C7C60">
      <w:pPr>
        <w:numPr>
          <w:ilvl w:val="3"/>
          <w:numId w:val="39"/>
        </w:numPr>
        <w:rPr>
          <w:lang w:eastAsia="zh-CN"/>
        </w:rPr>
      </w:pPr>
    </w:p>
    <w:p w:rsidR="004C7C60" w:rsidRDefault="004C7C60" w:rsidP="004C7C60">
      <w:pPr>
        <w:numPr>
          <w:ilvl w:val="4"/>
          <w:numId w:val="39"/>
        </w:numPr>
        <w:rPr>
          <w:lang w:eastAsia="zh-CN"/>
        </w:rPr>
      </w:pPr>
      <w:r>
        <w:rPr>
          <w:lang w:eastAsia="zh-CN"/>
        </w:rPr>
        <w:t xml:space="preserve"> </w:t>
      </w:r>
    </w:p>
    <w:p w:rsidR="004C7C60" w:rsidRDefault="005E61C8" w:rsidP="004C7C60">
      <w:pPr>
        <w:numPr>
          <w:ilvl w:val="1"/>
          <w:numId w:val="39"/>
        </w:numPr>
        <w:rPr>
          <w:lang w:eastAsia="zh-CN"/>
        </w:rPr>
      </w:pPr>
      <w:r>
        <w:rPr>
          <w:lang w:eastAsia="zh-CN"/>
        </w:rPr>
        <w:t xml:space="preserve">Possible exceptions were discussed, such as </w:t>
      </w:r>
      <w:r w:rsidR="004C7C60">
        <w:rPr>
          <w:lang w:eastAsia="zh-CN"/>
        </w:rPr>
        <w:t xml:space="preserve"> if a lower level section contains a type 2/type 3 requirement</w:t>
      </w:r>
    </w:p>
    <w:p w:rsidR="004C7C60" w:rsidRDefault="004C7C60" w:rsidP="004C7C60">
      <w:pPr>
        <w:numPr>
          <w:ilvl w:val="1"/>
          <w:numId w:val="39"/>
        </w:numPr>
        <w:rPr>
          <w:lang w:eastAsia="zh-CN"/>
        </w:rPr>
      </w:pPr>
      <w:r>
        <w:rPr>
          <w:lang w:eastAsia="zh-CN"/>
        </w:rPr>
        <w:t>Generally it is desirable if the CCA operation structure is close to the non CCA operation structure, but there may be exceptions to this (example : if there are additional aspects to CCA operation that justify an additional subsection)</w:t>
      </w:r>
    </w:p>
    <w:p w:rsidR="005E61C8" w:rsidRDefault="005E61C8" w:rsidP="004C7C60">
      <w:pPr>
        <w:numPr>
          <w:ilvl w:val="1"/>
          <w:numId w:val="39"/>
        </w:numPr>
        <w:rPr>
          <w:lang w:eastAsia="zh-CN"/>
        </w:rPr>
      </w:pPr>
      <w:r>
        <w:rPr>
          <w:lang w:eastAsia="zh-CN"/>
        </w:rPr>
        <w:t>When reviewing the detailed specification structure, agreements on the level to introduce some CCA requirements were reached in exception cases, and it is expected that this work can be completed during RAN4#92bis by further email review</w:t>
      </w:r>
    </w:p>
    <w:p w:rsidR="004C7C60" w:rsidRDefault="004C7C60" w:rsidP="004C7C60">
      <w:pPr>
        <w:numPr>
          <w:ilvl w:val="0"/>
          <w:numId w:val="39"/>
        </w:numPr>
        <w:rPr>
          <w:lang w:eastAsia="zh-CN"/>
        </w:rPr>
      </w:pPr>
      <w:r>
        <w:rPr>
          <w:lang w:eastAsia="zh-CN"/>
        </w:rPr>
        <w:t>Type 2 requirements are straightforwardly addressed by adding text such as “the following requirement applies to both CCA and non CCA operation on a ….” (exact wording FFS)</w:t>
      </w:r>
    </w:p>
    <w:p w:rsidR="004C7C60" w:rsidRDefault="004C7C60" w:rsidP="004C7C60">
      <w:pPr>
        <w:numPr>
          <w:ilvl w:val="0"/>
          <w:numId w:val="39"/>
        </w:numPr>
        <w:rPr>
          <w:lang w:eastAsia="zh-CN"/>
        </w:rPr>
      </w:pPr>
      <w:r>
        <w:rPr>
          <w:lang w:eastAsia="zh-CN"/>
        </w:rPr>
        <w:t>Type 3 requirements are specified in the same section for both CCA and non CCA operation, based on the outcome of technical discussion in RAN4</w:t>
      </w:r>
    </w:p>
    <w:p w:rsidR="004C7C60" w:rsidRDefault="004C7C60" w:rsidP="004C7C60">
      <w:pPr>
        <w:numPr>
          <w:ilvl w:val="1"/>
          <w:numId w:val="39"/>
        </w:numPr>
        <w:rPr>
          <w:lang w:eastAsia="zh-CN"/>
        </w:rPr>
      </w:pPr>
      <w:proofErr w:type="spellStart"/>
      <w:r>
        <w:rPr>
          <w:lang w:eastAsia="zh-CN"/>
        </w:rPr>
        <w:t>Eg</w:t>
      </w:r>
      <w:proofErr w:type="spellEnd"/>
      <w:r>
        <w:rPr>
          <w:lang w:eastAsia="zh-CN"/>
        </w:rPr>
        <w:t xml:space="preserve"> gap applicability will be discussed in RAN4 and captured along with existing gap applicability (likely scenario A/C in SA gap applicability and scenario B in EN-DC gap applicability) </w:t>
      </w:r>
    </w:p>
    <w:p w:rsidR="004C7C60" w:rsidRDefault="004C7C60" w:rsidP="004C7C60">
      <w:pPr>
        <w:numPr>
          <w:ilvl w:val="0"/>
          <w:numId w:val="39"/>
        </w:numPr>
        <w:rPr>
          <w:lang w:eastAsia="zh-CN"/>
        </w:rPr>
      </w:pPr>
      <w:r>
        <w:rPr>
          <w:lang w:eastAsia="zh-CN"/>
        </w:rPr>
        <w:t>Type 4 requirements do not need any special action (non CCA by default for existing requirements)</w:t>
      </w:r>
    </w:p>
    <w:p w:rsidR="004C7C60" w:rsidRDefault="004C7C60" w:rsidP="00CF1D3F">
      <w:pPr>
        <w:numPr>
          <w:ilvl w:val="0"/>
          <w:numId w:val="39"/>
        </w:numPr>
        <w:rPr>
          <w:lang w:eastAsia="zh-CN"/>
        </w:rPr>
      </w:pPr>
      <w:r>
        <w:rPr>
          <w:lang w:eastAsia="zh-CN"/>
        </w:rPr>
        <w:t>Type 5 : It is allowed to add section</w:t>
      </w:r>
      <w:r w:rsidR="001D7220">
        <w:rPr>
          <w:lang w:eastAsia="zh-CN"/>
        </w:rPr>
        <w:t>s</w:t>
      </w:r>
      <w:r>
        <w:rPr>
          <w:lang w:eastAsia="zh-CN"/>
        </w:rPr>
        <w:t xml:space="preserve"> for CCA operation where there is not a corresponding non CCA section</w:t>
      </w:r>
    </w:p>
    <w:p w:rsidR="004845D8" w:rsidRDefault="004845D8" w:rsidP="004845D8">
      <w:pPr>
        <w:ind w:left="360"/>
        <w:rPr>
          <w:lang w:eastAsia="zh-CN"/>
        </w:rPr>
      </w:pPr>
      <w:r>
        <w:rPr>
          <w:lang w:eastAsia="zh-CN"/>
        </w:rPr>
        <w:t>Colour coding used in R4-1912051 is intended to different types</w:t>
      </w:r>
    </w:p>
    <w:p w:rsidR="004845D8" w:rsidRPr="004845D8" w:rsidRDefault="004845D8" w:rsidP="004845D8">
      <w:pPr>
        <w:pStyle w:val="ListParagraph"/>
        <w:numPr>
          <w:ilvl w:val="0"/>
          <w:numId w:val="39"/>
        </w:numPr>
        <w:rPr>
          <w:lang w:val="en-US" w:eastAsia="zh-CN"/>
        </w:rPr>
      </w:pPr>
      <w:r w:rsidRPr="004845D8">
        <w:rPr>
          <w:highlight w:val="green"/>
          <w:lang w:val="en-US" w:eastAsia="zh-CN"/>
        </w:rPr>
        <w:t>Scope of existing requirements extended to cover CCA and non CCA</w:t>
      </w:r>
      <w:r>
        <w:rPr>
          <w:lang w:val="en-US" w:eastAsia="zh-CN"/>
        </w:rPr>
        <w:t>(used for type 2, type 3)</w:t>
      </w:r>
    </w:p>
    <w:p w:rsidR="004845D8" w:rsidRPr="004845D8" w:rsidRDefault="004845D8" w:rsidP="004845D8">
      <w:pPr>
        <w:pStyle w:val="ListParagraph"/>
        <w:numPr>
          <w:ilvl w:val="0"/>
          <w:numId w:val="39"/>
        </w:numPr>
        <w:rPr>
          <w:lang w:val="en-US" w:eastAsia="zh-CN"/>
        </w:rPr>
      </w:pPr>
      <w:r w:rsidRPr="004845D8">
        <w:rPr>
          <w:highlight w:val="cyan"/>
          <w:lang w:val="en-US" w:eastAsia="zh-CN"/>
        </w:rPr>
        <w:t>CCA is excluded by default, CCA variant of requirement added in another subsection</w:t>
      </w:r>
      <w:r>
        <w:rPr>
          <w:lang w:val="en-US" w:eastAsia="zh-CN"/>
        </w:rPr>
        <w:t xml:space="preserve"> (used for type 1)</w:t>
      </w:r>
    </w:p>
    <w:p w:rsidR="004845D8" w:rsidRPr="004845D8" w:rsidRDefault="004845D8" w:rsidP="004845D8">
      <w:pPr>
        <w:pStyle w:val="ListParagraph"/>
        <w:numPr>
          <w:ilvl w:val="0"/>
          <w:numId w:val="39"/>
        </w:numPr>
        <w:rPr>
          <w:lang w:val="en-US" w:eastAsia="zh-CN"/>
        </w:rPr>
      </w:pPr>
      <w:r w:rsidRPr="004845D8">
        <w:rPr>
          <w:highlight w:val="lightGray"/>
          <w:lang w:val="en-US" w:eastAsia="zh-CN"/>
        </w:rPr>
        <w:t>CCA is excluded by default, CCA variant of requirement not necessary</w:t>
      </w:r>
      <w:r>
        <w:rPr>
          <w:lang w:val="en-US" w:eastAsia="zh-CN"/>
        </w:rPr>
        <w:t xml:space="preserve"> (used for type 4)</w:t>
      </w:r>
    </w:p>
    <w:p w:rsidR="004845D8" w:rsidRPr="004845D8" w:rsidRDefault="004845D8" w:rsidP="004845D8">
      <w:pPr>
        <w:pStyle w:val="ListParagraph"/>
        <w:numPr>
          <w:ilvl w:val="0"/>
          <w:numId w:val="39"/>
        </w:numPr>
        <w:rPr>
          <w:lang w:val="en-US" w:eastAsia="zh-CN"/>
        </w:rPr>
      </w:pPr>
      <w:r w:rsidRPr="004845D8">
        <w:rPr>
          <w:highlight w:val="magenta"/>
          <w:lang w:val="en-US" w:eastAsia="zh-CN"/>
        </w:rPr>
        <w:t>CCA variant of requirement</w:t>
      </w:r>
      <w:r>
        <w:rPr>
          <w:lang w:val="en-US" w:eastAsia="zh-CN"/>
        </w:rPr>
        <w:t xml:space="preserve"> (used for type 1,type 5)</w:t>
      </w:r>
    </w:p>
    <w:p w:rsidR="004845D8" w:rsidRDefault="004845D8" w:rsidP="004845D8">
      <w:pPr>
        <w:rPr>
          <w:lang w:eastAsia="zh-CN"/>
        </w:rPr>
      </w:pPr>
    </w:p>
    <w:p w:rsidR="005E61C8" w:rsidRPr="00C5568D" w:rsidRDefault="005E61C8" w:rsidP="004845D8">
      <w:pPr>
        <w:rPr>
          <w:lang w:eastAsia="zh-CN"/>
        </w:rPr>
      </w:pPr>
      <w:r>
        <w:rPr>
          <w:lang w:eastAsia="zh-CN"/>
        </w:rPr>
        <w:t xml:space="preserve">A further </w:t>
      </w:r>
      <w:proofErr w:type="spellStart"/>
      <w:r>
        <w:rPr>
          <w:lang w:eastAsia="zh-CN"/>
        </w:rPr>
        <w:t>adhoc</w:t>
      </w:r>
      <w:proofErr w:type="spellEnd"/>
      <w:r>
        <w:rPr>
          <w:lang w:eastAsia="zh-CN"/>
        </w:rPr>
        <w:t xml:space="preserve"> was held on 17.10.2019 where the input from multiple companies on the detailed specification structure was partially reviewed and aligned. It is expected to complete the review by 18.10.2019 with further email discussion on the RAN4 reflector </w:t>
      </w:r>
    </w:p>
    <w:sectPr w:rsidR="005E61C8" w:rsidRPr="00C5568D"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C97" w:rsidRDefault="006D6C97">
      <w:r>
        <w:separator/>
      </w:r>
    </w:p>
  </w:endnote>
  <w:endnote w:type="continuationSeparator" w:id="0">
    <w:p w:rsidR="006D6C97" w:rsidRDefault="006D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C97" w:rsidRDefault="006D6C97">
      <w:r>
        <w:separator/>
      </w:r>
    </w:p>
  </w:footnote>
  <w:footnote w:type="continuationSeparator" w:id="0">
    <w:p w:rsidR="006D6C97" w:rsidRDefault="006D6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23F7"/>
    <w:multiLevelType w:val="hybridMultilevel"/>
    <w:tmpl w:val="DB864C04"/>
    <w:lvl w:ilvl="0" w:tplc="933E5FB2">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1F2AD7"/>
    <w:multiLevelType w:val="hybridMultilevel"/>
    <w:tmpl w:val="1E586706"/>
    <w:lvl w:ilvl="0" w:tplc="933E5FB2">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9607B"/>
    <w:multiLevelType w:val="hybridMultilevel"/>
    <w:tmpl w:val="571AD1EC"/>
    <w:lvl w:ilvl="0" w:tplc="933E5FB2">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93123D"/>
    <w:multiLevelType w:val="hybridMultilevel"/>
    <w:tmpl w:val="88360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37"/>
  </w:num>
  <w:num w:numId="3">
    <w:abstractNumId w:val="39"/>
  </w:num>
  <w:num w:numId="4">
    <w:abstractNumId w:val="13"/>
  </w:num>
  <w:num w:numId="5">
    <w:abstractNumId w:val="16"/>
  </w:num>
  <w:num w:numId="6">
    <w:abstractNumId w:val="33"/>
  </w:num>
  <w:num w:numId="7">
    <w:abstractNumId w:val="14"/>
  </w:num>
  <w:num w:numId="8">
    <w:abstractNumId w:val="27"/>
  </w:num>
  <w:num w:numId="9">
    <w:abstractNumId w:val="17"/>
  </w:num>
  <w:num w:numId="10">
    <w:abstractNumId w:val="18"/>
  </w:num>
  <w:num w:numId="11">
    <w:abstractNumId w:val="10"/>
  </w:num>
  <w:num w:numId="12">
    <w:abstractNumId w:val="24"/>
  </w:num>
  <w:num w:numId="13">
    <w:abstractNumId w:val="1"/>
  </w:num>
  <w:num w:numId="14">
    <w:abstractNumId w:val="2"/>
  </w:num>
  <w:num w:numId="15">
    <w:abstractNumId w:val="38"/>
  </w:num>
  <w:num w:numId="16">
    <w:abstractNumId w:val="25"/>
  </w:num>
  <w:num w:numId="17">
    <w:abstractNumId w:val="26"/>
  </w:num>
  <w:num w:numId="18">
    <w:abstractNumId w:val="12"/>
  </w:num>
  <w:num w:numId="19">
    <w:abstractNumId w:val="29"/>
  </w:num>
  <w:num w:numId="20">
    <w:abstractNumId w:val="31"/>
  </w:num>
  <w:num w:numId="21">
    <w:abstractNumId w:val="9"/>
  </w:num>
  <w:num w:numId="22">
    <w:abstractNumId w:val="35"/>
  </w:num>
  <w:num w:numId="23">
    <w:abstractNumId w:val="6"/>
  </w:num>
  <w:num w:numId="24">
    <w:abstractNumId w:val="28"/>
  </w:num>
  <w:num w:numId="25">
    <w:abstractNumId w:val="11"/>
  </w:num>
  <w:num w:numId="26">
    <w:abstractNumId w:val="30"/>
  </w:num>
  <w:num w:numId="27">
    <w:abstractNumId w:val="21"/>
  </w:num>
  <w:num w:numId="28">
    <w:abstractNumId w:val="23"/>
  </w:num>
  <w:num w:numId="29">
    <w:abstractNumId w:val="36"/>
  </w:num>
  <w:num w:numId="30">
    <w:abstractNumId w:val="32"/>
  </w:num>
  <w:num w:numId="31">
    <w:abstractNumId w:val="34"/>
  </w:num>
  <w:num w:numId="32">
    <w:abstractNumId w:val="15"/>
  </w:num>
  <w:num w:numId="33">
    <w:abstractNumId w:val="20"/>
  </w:num>
  <w:num w:numId="34">
    <w:abstractNumId w:val="3"/>
  </w:num>
  <w:num w:numId="35">
    <w:abstractNumId w:val="7"/>
  </w:num>
  <w:num w:numId="36">
    <w:abstractNumId w:val="8"/>
  </w:num>
  <w:num w:numId="37">
    <w:abstractNumId w:val="22"/>
  </w:num>
  <w:num w:numId="38">
    <w:abstractNumId w:val="4"/>
  </w:num>
  <w:num w:numId="39">
    <w:abstractNumId w:val="5"/>
  </w:num>
  <w:num w:numId="4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20"/>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2C5C"/>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62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0CF"/>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5D8"/>
    <w:rsid w:val="0048493E"/>
    <w:rsid w:val="00484AB9"/>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C60"/>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1C8"/>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C97"/>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74D"/>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501"/>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68D"/>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405"/>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6C6"/>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437"/>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1A7"/>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76A95A"/>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styleId="Strong">
    <w:name w:val="Strong"/>
    <w:uiPriority w:val="22"/>
    <w:qFormat/>
    <w:rsid w:val="002906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2654320">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231614">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5F78D4-0925-417D-A7A9-B3B04D5A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2019-10-17T06:06:00Z</dcterms:created>
  <dcterms:modified xsi:type="dcterms:W3CDTF">2019-10-17T06:06:00Z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